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F18C4" w14:textId="77777777" w:rsidR="007A067A" w:rsidRDefault="007A067A" w:rsidP="00135937">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Response to </w:t>
      </w:r>
      <w:r w:rsidR="00AB21DE" w:rsidRPr="00AB21DE">
        <w:rPr>
          <w:rFonts w:ascii="Times New Roman" w:hAnsi="Times New Roman" w:cs="Times New Roman"/>
          <w:b/>
          <w:bCs/>
          <w:sz w:val="24"/>
          <w:szCs w:val="24"/>
          <w:lang w:val="en-US"/>
        </w:rPr>
        <w:t>Discussion 2</w:t>
      </w:r>
    </w:p>
    <w:p w14:paraId="64AEB141" w14:textId="77777777" w:rsidR="007A067A" w:rsidRDefault="00AB21DE" w:rsidP="00135937">
      <w:pPr>
        <w:spacing w:line="480" w:lineRule="auto"/>
        <w:ind w:firstLine="720"/>
        <w:rPr>
          <w:rFonts w:ascii="Times New Roman" w:hAnsi="Times New Roman" w:cs="Times New Roman"/>
          <w:sz w:val="24"/>
          <w:szCs w:val="24"/>
          <w:lang w:val="en-US"/>
        </w:rPr>
      </w:pPr>
      <w:r w:rsidRPr="00AB21DE">
        <w:rPr>
          <w:rFonts w:ascii="Times New Roman" w:hAnsi="Times New Roman" w:cs="Times New Roman"/>
          <w:sz w:val="24"/>
          <w:szCs w:val="24"/>
          <w:lang w:val="en-US"/>
        </w:rPr>
        <w:t>Although you clearly explain how the justice system should interact more with the public health system to maintain effective social control, perhaps a more comprehensive approach would have included how these two sectors may negatively affect each other. For instance, mass incarceration by the justice system has negatively contributed to public health since the incarcerated individuals experience much higher rates of chronic health problems, substance abuse, and mental illness than the general public (Potter &amp; Rosky, 2012). Nonetheless, I agree with your assessment of the idea concerning the metaphorical view of crime as a disease. This idea essentially perceives crime as a ‘disease’ that needs to be eradicated from society (Potter, 2018). While you also point out that the method of trying to eradicate criminals through sentencing leads to high incarceration rates and does not help to reduce the negative behavior, I would add that this view of crime may also contribute to the negative perception and stigma directed towards previously incarcerated individuals in our society.</w:t>
      </w:r>
    </w:p>
    <w:p w14:paraId="0B31D801" w14:textId="2E6BA340" w:rsidR="007A067A" w:rsidRDefault="00AB21DE" w:rsidP="00135937">
      <w:pPr>
        <w:spacing w:line="480" w:lineRule="auto"/>
        <w:ind w:firstLine="720"/>
        <w:rPr>
          <w:rFonts w:ascii="Times New Roman" w:hAnsi="Times New Roman" w:cs="Times New Roman"/>
          <w:sz w:val="24"/>
          <w:szCs w:val="24"/>
          <w:lang w:val="en-US"/>
        </w:rPr>
      </w:pPr>
      <w:r w:rsidRPr="00AB21DE">
        <w:rPr>
          <w:rFonts w:ascii="Times New Roman" w:hAnsi="Times New Roman" w:cs="Times New Roman"/>
          <w:sz w:val="24"/>
          <w:szCs w:val="24"/>
          <w:lang w:val="en-US"/>
        </w:rPr>
        <w:t>This negative perception of criminals is responsible for the challenges faced by previously incarcerated individuals who are trying to get back into society, such as difficulty in finding employment. Westrope (2018) explains that employers are often wary of hiring persons with criminal records due to fear of liability and the social stigma that frequently attaches to formerly incarcerated individuals. Since employment is correlated to the health outcome of an individual both directly through stress and indirectly by affecting aspects such as their living conditions, we can infer that formerly incarcerated individuals are more likely to suffer negative health outcomes. As such, perhaps we should not view crime as a disease, nor criminals as people who should be eradicated from the society.</w:t>
      </w:r>
    </w:p>
    <w:p w14:paraId="02A77E48" w14:textId="77777777" w:rsidR="00135937" w:rsidRDefault="00135937" w:rsidP="0013593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7CBB4C9" w14:textId="3C64D0B5" w:rsidR="007A067A" w:rsidRDefault="00AB21DE" w:rsidP="00135937">
      <w:pPr>
        <w:spacing w:line="480" w:lineRule="auto"/>
        <w:jc w:val="center"/>
        <w:rPr>
          <w:rFonts w:ascii="Times New Roman" w:hAnsi="Times New Roman" w:cs="Times New Roman"/>
          <w:bCs/>
          <w:sz w:val="24"/>
          <w:szCs w:val="24"/>
          <w:lang w:val="en-US"/>
        </w:rPr>
      </w:pPr>
      <w:r w:rsidRPr="007A067A">
        <w:rPr>
          <w:rFonts w:ascii="Times New Roman" w:hAnsi="Times New Roman" w:cs="Times New Roman"/>
          <w:bCs/>
          <w:sz w:val="24"/>
          <w:szCs w:val="24"/>
          <w:lang w:val="en-US"/>
        </w:rPr>
        <w:lastRenderedPageBreak/>
        <w:t>References</w:t>
      </w:r>
    </w:p>
    <w:p w14:paraId="2D5049A0" w14:textId="77777777" w:rsidR="007A067A" w:rsidRDefault="007A067A" w:rsidP="00135937">
      <w:pPr>
        <w:spacing w:line="480" w:lineRule="auto"/>
        <w:ind w:left="720" w:hanging="720"/>
        <w:rPr>
          <w:rFonts w:ascii="Times New Roman" w:hAnsi="Times New Roman" w:cs="Times New Roman"/>
          <w:sz w:val="24"/>
          <w:szCs w:val="24"/>
          <w:lang w:val="en-US"/>
        </w:rPr>
      </w:pPr>
      <w:r w:rsidRPr="00AB21DE">
        <w:rPr>
          <w:rFonts w:ascii="Times New Roman" w:hAnsi="Times New Roman" w:cs="Times New Roman"/>
          <w:sz w:val="24"/>
          <w:szCs w:val="24"/>
          <w:lang w:val="en-US"/>
        </w:rPr>
        <w:t xml:space="preserve">Potter, R. H., &amp; Rosky, J. W. (2013). The iron fist in the latex glove: The intersection of public health and criminal justice. </w:t>
      </w:r>
      <w:r w:rsidRPr="00AB21DE">
        <w:rPr>
          <w:rFonts w:ascii="Times New Roman" w:hAnsi="Times New Roman" w:cs="Times New Roman"/>
          <w:i/>
          <w:sz w:val="24"/>
          <w:szCs w:val="24"/>
          <w:lang w:val="en-US"/>
        </w:rPr>
        <w:t>American Journal of Criminal Justice</w:t>
      </w:r>
      <w:r w:rsidRPr="00AB21DE">
        <w:rPr>
          <w:rFonts w:ascii="Times New Roman" w:hAnsi="Times New Roman" w:cs="Times New Roman"/>
          <w:sz w:val="24"/>
          <w:szCs w:val="24"/>
          <w:lang w:val="en-US"/>
        </w:rPr>
        <w:t>, 38(2), 276-288.</w:t>
      </w:r>
    </w:p>
    <w:p w14:paraId="7C2539DE" w14:textId="77777777" w:rsidR="007A067A" w:rsidRDefault="007A067A" w:rsidP="00135937">
      <w:pPr>
        <w:spacing w:line="480" w:lineRule="auto"/>
        <w:ind w:left="720" w:hanging="720"/>
        <w:rPr>
          <w:rFonts w:ascii="Times New Roman" w:hAnsi="Times New Roman" w:cs="Times New Roman"/>
          <w:sz w:val="24"/>
          <w:szCs w:val="24"/>
          <w:lang w:val="en-US"/>
        </w:rPr>
      </w:pPr>
      <w:r w:rsidRPr="00AB21DE">
        <w:rPr>
          <w:rFonts w:ascii="Times New Roman" w:hAnsi="Times New Roman" w:cs="Times New Roman"/>
          <w:sz w:val="24"/>
          <w:szCs w:val="24"/>
          <w:lang w:val="en-US"/>
        </w:rPr>
        <w:t xml:space="preserve">Pottery, R. (2018). The “Crime as a Disease” Metaphor: Vision, Power, and Collaboration in Social Problems Research. In Hanne, M., &amp; Weisberg, R. (Eds.). </w:t>
      </w:r>
      <w:r w:rsidRPr="00AB21DE">
        <w:rPr>
          <w:rFonts w:ascii="Times New Roman" w:hAnsi="Times New Roman" w:cs="Times New Roman"/>
          <w:i/>
          <w:sz w:val="24"/>
          <w:szCs w:val="24"/>
          <w:lang w:val="en-US"/>
        </w:rPr>
        <w:t>Narrative and Metaphor in the Law</w:t>
      </w:r>
      <w:r w:rsidRPr="00AB21DE">
        <w:rPr>
          <w:rFonts w:ascii="Times New Roman" w:hAnsi="Times New Roman" w:cs="Times New Roman"/>
          <w:sz w:val="24"/>
          <w:szCs w:val="24"/>
          <w:lang w:val="en-US"/>
        </w:rPr>
        <w:t>. Cambridge University Press.</w:t>
      </w:r>
    </w:p>
    <w:p w14:paraId="3B29E313" w14:textId="77777777" w:rsidR="007A067A" w:rsidRPr="00AB21DE" w:rsidRDefault="007A067A" w:rsidP="00135937">
      <w:pPr>
        <w:spacing w:line="480" w:lineRule="auto"/>
        <w:ind w:left="720" w:hanging="720"/>
        <w:rPr>
          <w:rFonts w:ascii="Times New Roman" w:hAnsi="Times New Roman" w:cs="Times New Roman"/>
          <w:sz w:val="24"/>
          <w:szCs w:val="24"/>
          <w:lang w:val="en-US"/>
        </w:rPr>
      </w:pPr>
      <w:r w:rsidRPr="00AB21DE">
        <w:rPr>
          <w:rFonts w:ascii="Times New Roman" w:hAnsi="Times New Roman" w:cs="Times New Roman"/>
          <w:sz w:val="24"/>
          <w:szCs w:val="24"/>
          <w:lang w:val="en-US"/>
        </w:rPr>
        <w:t>Westrope, E. (2018). Employment discrimination on the basis of criminal history. </w:t>
      </w:r>
      <w:r w:rsidRPr="00AB21DE">
        <w:rPr>
          <w:rFonts w:ascii="Times New Roman" w:hAnsi="Times New Roman" w:cs="Times New Roman"/>
          <w:i/>
          <w:iCs/>
          <w:sz w:val="24"/>
          <w:szCs w:val="24"/>
          <w:lang w:val="en-US"/>
        </w:rPr>
        <w:t>The Journal of Criminal Law and Criminology (1973-)</w:t>
      </w:r>
      <w:r w:rsidRPr="00AB21DE">
        <w:rPr>
          <w:rFonts w:ascii="Times New Roman" w:hAnsi="Times New Roman" w:cs="Times New Roman"/>
          <w:sz w:val="24"/>
          <w:szCs w:val="24"/>
          <w:lang w:val="en-US"/>
        </w:rPr>
        <w:t>, </w:t>
      </w:r>
      <w:r w:rsidRPr="00AB21DE">
        <w:rPr>
          <w:rFonts w:ascii="Times New Roman" w:hAnsi="Times New Roman" w:cs="Times New Roman"/>
          <w:i/>
          <w:iCs/>
          <w:sz w:val="24"/>
          <w:szCs w:val="24"/>
          <w:lang w:val="en-US"/>
        </w:rPr>
        <w:t>108</w:t>
      </w:r>
      <w:r w:rsidRPr="00AB21DE">
        <w:rPr>
          <w:rFonts w:ascii="Times New Roman" w:hAnsi="Times New Roman" w:cs="Times New Roman"/>
          <w:sz w:val="24"/>
          <w:szCs w:val="24"/>
          <w:lang w:val="en-US"/>
        </w:rPr>
        <w:t>(2), 367-398.</w:t>
      </w:r>
    </w:p>
    <w:sectPr w:rsidR="007A067A" w:rsidRPr="00AB21D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6CFC1" w14:textId="77777777" w:rsidR="00370886" w:rsidRDefault="00370886" w:rsidP="00AB21DE">
      <w:pPr>
        <w:spacing w:after="0" w:line="240" w:lineRule="auto"/>
      </w:pPr>
      <w:r>
        <w:separator/>
      </w:r>
    </w:p>
  </w:endnote>
  <w:endnote w:type="continuationSeparator" w:id="0">
    <w:p w14:paraId="6F7E1E01" w14:textId="77777777" w:rsidR="00370886" w:rsidRDefault="00370886" w:rsidP="00AB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687D4A" w14:textId="77777777" w:rsidR="00370886" w:rsidRDefault="00370886" w:rsidP="00AB21DE">
      <w:pPr>
        <w:spacing w:after="0" w:line="240" w:lineRule="auto"/>
      </w:pPr>
      <w:r>
        <w:separator/>
      </w:r>
    </w:p>
  </w:footnote>
  <w:footnote w:type="continuationSeparator" w:id="0">
    <w:p w14:paraId="32052B76" w14:textId="77777777" w:rsidR="00370886" w:rsidRDefault="00370886" w:rsidP="00AB2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20640578"/>
      <w:docPartObj>
        <w:docPartGallery w:val="Page Numbers (Top of Page)"/>
        <w:docPartUnique/>
      </w:docPartObj>
    </w:sdtPr>
    <w:sdtEndPr>
      <w:rPr>
        <w:noProof/>
      </w:rPr>
    </w:sdtEndPr>
    <w:sdtContent>
      <w:p w14:paraId="359B8FBA" w14:textId="3120E4CB" w:rsidR="007A067A" w:rsidRPr="007A067A" w:rsidRDefault="007A067A" w:rsidP="007A067A">
        <w:pPr>
          <w:pStyle w:val="Header"/>
          <w:jc w:val="right"/>
          <w:rPr>
            <w:rFonts w:ascii="Times New Roman" w:hAnsi="Times New Roman" w:cs="Times New Roman"/>
            <w:sz w:val="24"/>
            <w:szCs w:val="24"/>
          </w:rPr>
        </w:pPr>
        <w:r w:rsidRPr="007A067A">
          <w:rPr>
            <w:rFonts w:ascii="Times New Roman" w:hAnsi="Times New Roman" w:cs="Times New Roman"/>
            <w:sz w:val="24"/>
            <w:szCs w:val="24"/>
          </w:rPr>
          <w:fldChar w:fldCharType="begin"/>
        </w:r>
        <w:r w:rsidRPr="007A067A">
          <w:rPr>
            <w:rFonts w:ascii="Times New Roman" w:hAnsi="Times New Roman" w:cs="Times New Roman"/>
            <w:sz w:val="24"/>
            <w:szCs w:val="24"/>
          </w:rPr>
          <w:instrText xml:space="preserve"> PAGE   \* MERGEFORMAT </w:instrText>
        </w:r>
        <w:r w:rsidRPr="007A067A">
          <w:rPr>
            <w:rFonts w:ascii="Times New Roman" w:hAnsi="Times New Roman" w:cs="Times New Roman"/>
            <w:sz w:val="24"/>
            <w:szCs w:val="24"/>
          </w:rPr>
          <w:fldChar w:fldCharType="separate"/>
        </w:r>
        <w:r w:rsidRPr="007A067A">
          <w:rPr>
            <w:rFonts w:ascii="Times New Roman" w:hAnsi="Times New Roman" w:cs="Times New Roman"/>
            <w:noProof/>
            <w:sz w:val="24"/>
            <w:szCs w:val="24"/>
          </w:rPr>
          <w:t>2</w:t>
        </w:r>
        <w:r w:rsidRPr="007A067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xNDU1MTcysrC0MDNT0lEKTi0uzszPAykwqgUA9iEPvCwAAAA="/>
  </w:docVars>
  <w:rsids>
    <w:rsidRoot w:val="00AB21DE"/>
    <w:rsid w:val="00135937"/>
    <w:rsid w:val="00370886"/>
    <w:rsid w:val="003B1BFA"/>
    <w:rsid w:val="00492066"/>
    <w:rsid w:val="00635DA7"/>
    <w:rsid w:val="007A067A"/>
    <w:rsid w:val="008142BD"/>
    <w:rsid w:val="00AB21DE"/>
    <w:rsid w:val="00DA3AB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345A4"/>
  <w15:chartTrackingRefBased/>
  <w15:docId w15:val="{32642E0B-223B-45D7-BBE2-183E6230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1DE"/>
  </w:style>
  <w:style w:type="paragraph" w:styleId="Footer">
    <w:name w:val="footer"/>
    <w:basedOn w:val="Normal"/>
    <w:link w:val="FooterChar"/>
    <w:uiPriority w:val="99"/>
    <w:unhideWhenUsed/>
    <w:rsid w:val="00AB2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2021-01-29T17:39:00Z</dcterms:created>
  <dcterms:modified xsi:type="dcterms:W3CDTF">2021-01-29T17:44:00Z</dcterms:modified>
</cp:coreProperties>
</file>